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80DA7B" w14:textId="77777777" w:rsidR="004C7CE5" w:rsidRPr="00F77451" w:rsidRDefault="004C7CE5" w:rsidP="004C7CE5">
      <w:pPr>
        <w:jc w:val="center"/>
        <w:rPr>
          <w:b/>
          <w:bCs/>
        </w:rPr>
      </w:pPr>
      <w:r w:rsidRPr="00F77451">
        <w:rPr>
          <w:b/>
          <w:bCs/>
        </w:rPr>
        <w:t>THE OFFICE OF UNDERGRADUATE RESEARCH AND INNOVATION</w:t>
      </w:r>
    </w:p>
    <w:p w14:paraId="084A80E5" w14:textId="77777777" w:rsidR="004C7CE5" w:rsidRPr="00F77451" w:rsidRDefault="004C7CE5" w:rsidP="004C7CE5">
      <w:pPr>
        <w:jc w:val="center"/>
        <w:rPr>
          <w:b/>
          <w:bCs/>
        </w:rPr>
      </w:pPr>
      <w:r w:rsidRPr="00F77451">
        <w:rPr>
          <w:b/>
          <w:bCs/>
        </w:rPr>
        <w:t>Project Summary Report</w:t>
      </w:r>
    </w:p>
    <w:p w14:paraId="2D3F8D5C" w14:textId="77777777" w:rsidR="004C7CE5" w:rsidRDefault="004C7CE5" w:rsidP="004C7CE5">
      <w:r>
        <w:t xml:space="preserve">Please submit report by May 15, </w:t>
      </w:r>
      <w:proofErr w:type="gramStart"/>
      <w:r>
        <w:t>2022</w:t>
      </w:r>
      <w:proofErr w:type="gramEnd"/>
      <w:r>
        <w:t xml:space="preserve"> to:</w:t>
      </w:r>
    </w:p>
    <w:p w14:paraId="7A1ED6CA" w14:textId="77777777" w:rsidR="004C7CE5" w:rsidRDefault="004C7CE5" w:rsidP="004C7CE5">
      <w:r>
        <w:t>The Office of Undergraduate Research (URI)2 Email: uri2@etal.uri.edu</w:t>
      </w:r>
    </w:p>
    <w:p w14:paraId="0C22F175" w14:textId="77777777" w:rsidR="004C7CE5" w:rsidRDefault="004C7CE5" w:rsidP="004C7CE5">
      <w:r w:rsidRPr="00286DCF">
        <w:rPr>
          <w:b/>
          <w:bCs/>
        </w:rPr>
        <w:t>Date:</w:t>
      </w:r>
      <w:r>
        <w:t xml:space="preserve"> May 2</w:t>
      </w:r>
      <w:r w:rsidRPr="003C78A1">
        <w:rPr>
          <w:vertAlign w:val="superscript"/>
        </w:rPr>
        <w:t>nd</w:t>
      </w:r>
      <w:r>
        <w:t>, 2022</w:t>
      </w:r>
    </w:p>
    <w:p w14:paraId="3395C289" w14:textId="77777777" w:rsidR="004C7CE5" w:rsidRPr="003C78A1" w:rsidRDefault="004C7CE5" w:rsidP="004C7CE5">
      <w:r w:rsidRPr="00286DCF">
        <w:rPr>
          <w:b/>
          <w:bCs/>
        </w:rPr>
        <w:t>Project Title:</w:t>
      </w:r>
      <w:r>
        <w:t xml:space="preserve"> Assessing promoter sequences important for regulation of the </w:t>
      </w:r>
      <w:r>
        <w:rPr>
          <w:i/>
          <w:iCs/>
        </w:rPr>
        <w:t>rpsU2</w:t>
      </w:r>
      <w:r>
        <w:t xml:space="preserve"> gene in a pathogenic bacterium</w:t>
      </w:r>
    </w:p>
    <w:p w14:paraId="1354E1FB" w14:textId="77777777" w:rsidR="004C7CE5" w:rsidRDefault="004C7CE5" w:rsidP="004C7CE5">
      <w:r w:rsidRPr="00286DCF">
        <w:rPr>
          <w:b/>
          <w:bCs/>
        </w:rPr>
        <w:t xml:space="preserve">Primary Student Name: </w:t>
      </w:r>
      <w:r>
        <w:t>Aisling Macaraeg and Dan Floyd</w:t>
      </w:r>
    </w:p>
    <w:p w14:paraId="3A6E165A" w14:textId="77777777" w:rsidR="004C7CE5" w:rsidRDefault="004C7CE5" w:rsidP="004C7CE5">
      <w:r w:rsidRPr="00286DCF">
        <w:rPr>
          <w:b/>
          <w:bCs/>
        </w:rPr>
        <w:t>Project start date:</w:t>
      </w:r>
      <w:r>
        <w:t xml:space="preserve"> December 1</w:t>
      </w:r>
      <w:r w:rsidRPr="003C78A1">
        <w:rPr>
          <w:vertAlign w:val="superscript"/>
        </w:rPr>
        <w:t>st</w:t>
      </w:r>
      <w:r>
        <w:t>, 2021</w:t>
      </w:r>
    </w:p>
    <w:p w14:paraId="2C5C4F11" w14:textId="77777777" w:rsidR="004C7CE5" w:rsidRDefault="004C7CE5" w:rsidP="004C7CE5">
      <w:r w:rsidRPr="00286DCF">
        <w:rPr>
          <w:b/>
          <w:bCs/>
        </w:rPr>
        <w:t>Project end date:</w:t>
      </w:r>
      <w:r>
        <w:t xml:space="preserve"> May 2</w:t>
      </w:r>
      <w:r w:rsidRPr="003C78A1">
        <w:rPr>
          <w:vertAlign w:val="superscript"/>
        </w:rPr>
        <w:t>nd</w:t>
      </w:r>
      <w:r>
        <w:t>, 2022</w:t>
      </w:r>
    </w:p>
    <w:p w14:paraId="6C5206E1" w14:textId="77777777" w:rsidR="004C7CE5" w:rsidRDefault="004C7CE5" w:rsidP="004C7CE5">
      <w:r w:rsidRPr="00286DCF">
        <w:rPr>
          <w:b/>
          <w:bCs/>
        </w:rPr>
        <w:t>Faculty Mentor Name:</w:t>
      </w:r>
      <w:r>
        <w:t xml:space="preserve"> Dr. Kathryn Ramsey</w:t>
      </w:r>
    </w:p>
    <w:p w14:paraId="21DEDF6D" w14:textId="77777777" w:rsidR="004C7CE5" w:rsidRDefault="004C7CE5" w:rsidP="004C7CE5">
      <w:r w:rsidRPr="00286DCF">
        <w:rPr>
          <w:b/>
          <w:bCs/>
        </w:rPr>
        <w:t>Department:</w:t>
      </w:r>
      <w:r>
        <w:t xml:space="preserve"> CMB/BPS</w:t>
      </w:r>
    </w:p>
    <w:p w14:paraId="7E2E0B78" w14:textId="77777777" w:rsidR="004C7CE5" w:rsidRPr="009E555B" w:rsidRDefault="004C7CE5" w:rsidP="004C7CE5">
      <w:pPr>
        <w:rPr>
          <w:b/>
          <w:bCs/>
        </w:rPr>
      </w:pPr>
      <w:r w:rsidRPr="009E555B">
        <w:rPr>
          <w:b/>
          <w:bCs/>
        </w:rPr>
        <w:t>Abstract:</w:t>
      </w:r>
    </w:p>
    <w:p w14:paraId="477B079C" w14:textId="77777777" w:rsidR="004C7CE5" w:rsidRDefault="004C7CE5" w:rsidP="004C7CE5">
      <w:r>
        <w:t>Provide a one paragraph abstract so that readers who are not specialists in the subject will understand</w:t>
      </w:r>
    </w:p>
    <w:p w14:paraId="55DFBFD1" w14:textId="77777777" w:rsidR="004C7CE5" w:rsidRDefault="004C7CE5" w:rsidP="004C7CE5">
      <w:r>
        <w:t>the purpose, results, and impact of your project.</w:t>
      </w:r>
    </w:p>
    <w:p w14:paraId="03CE8E18" w14:textId="77777777" w:rsidR="004C7CE5" w:rsidRDefault="004C7CE5" w:rsidP="004C7CE5">
      <w:r>
        <w:rPr>
          <w:i/>
          <w:iCs/>
        </w:rPr>
        <w:t>Francisella tularensis</w:t>
      </w:r>
      <w:r>
        <w:t xml:space="preserve"> is a pathogenic bacterium that is the causative agent for tularemia, which can be fatal in both humans and other animals. To work with this bacterium in a research laboratory setting, we use a live vaccine strain (LVS), which has been attenuated and is unable to cause disease in humans. </w:t>
      </w:r>
      <w:r>
        <w:rPr>
          <w:i/>
          <w:iCs/>
        </w:rPr>
        <w:t>F. tularensis</w:t>
      </w:r>
      <w:r>
        <w:t xml:space="preserve"> has three homologs of the small ribosomal protein, bS21. One of these homologs, bS21-2, is of interest to the Ramsey lab as it plays an important role in virulence, the bacteria’s ability to cause disease. However, we do not yet understand the mechanisms of regulation of the bS21 homologs. This project aimed to uncover more information about regulation of bS21-2, building on preliminary data from the Ramsey lab which suggested that bS21-2 may be autoregulating. Specifically, this project assessed whether the activity of the promoter or the 5’ UTR sequence of the</w:t>
      </w:r>
      <w:r w:rsidRPr="000F2638">
        <w:rPr>
          <w:i/>
          <w:iCs/>
        </w:rPr>
        <w:t xml:space="preserve"> rpsU2</w:t>
      </w:r>
      <w:r>
        <w:t xml:space="preserve"> gene, which encodes bS21-2 in </w:t>
      </w:r>
      <w:r>
        <w:rPr>
          <w:i/>
          <w:iCs/>
        </w:rPr>
        <w:t xml:space="preserve">F. </w:t>
      </w:r>
      <w:r w:rsidRPr="000F2638">
        <w:rPr>
          <w:i/>
          <w:iCs/>
        </w:rPr>
        <w:t>tularensis</w:t>
      </w:r>
      <w:r>
        <w:rPr>
          <w:i/>
          <w:iCs/>
        </w:rPr>
        <w:t>,</w:t>
      </w:r>
      <w:r>
        <w:t xml:space="preserve"> is responding to the presence of the bS21-2 protein. The promoter and the 5’ UTR are, at a basic level, two different regulatory sequences that are before the gene of interest, </w:t>
      </w:r>
      <w:r w:rsidRPr="00876F17">
        <w:rPr>
          <w:i/>
          <w:iCs/>
        </w:rPr>
        <w:t>rpsU2</w:t>
      </w:r>
      <w:r>
        <w:t xml:space="preserve">. We investigated this question through construction of reporter gene fusions of these upstream regions to </w:t>
      </w:r>
      <w:r w:rsidRPr="00876F17">
        <w:rPr>
          <w:i/>
          <w:iCs/>
        </w:rPr>
        <w:t>lacZ</w:t>
      </w:r>
      <w:r>
        <w:rPr>
          <w:i/>
          <w:iCs/>
        </w:rPr>
        <w:t xml:space="preserve"> </w:t>
      </w:r>
      <w:r>
        <w:t xml:space="preserve">and completion of </w:t>
      </w:r>
      <w:r>
        <w:rPr>
          <w:rFonts w:cstheme="minorHAnsi"/>
        </w:rPr>
        <w:t>β</w:t>
      </w:r>
      <w:r>
        <w:t xml:space="preserve">-galactosidase assays in strains with and without bS21-2. The results of this assay did not validate the previous findings, as there was no meaningful difference in LacZ protein activity between our two strains. Due to this discrepancy, we looked at the </w:t>
      </w:r>
      <w:r>
        <w:rPr>
          <w:i/>
          <w:iCs/>
        </w:rPr>
        <w:t xml:space="preserve">rpsU2 </w:t>
      </w:r>
      <w:r>
        <w:t xml:space="preserve">RNA abundance using real-time PCR, as this was the method used in the preliminary research. The data showed 7-fold more RNA abundance in the strain without bS21-2, suggesting that bS21-2 is auto-regulating at the level of transcription.  Because there is a difference at the transcript level but no difference in protein activity, we hypothesize that there is an unknown mechanism of regulation happening post-transcriptionally. </w:t>
      </w:r>
    </w:p>
    <w:p w14:paraId="262DE80A" w14:textId="77777777" w:rsidR="004C7CE5" w:rsidRPr="00C92377" w:rsidRDefault="004C7CE5" w:rsidP="004C7CE5"/>
    <w:p w14:paraId="4A2B9FC0" w14:textId="77777777" w:rsidR="004C7CE5" w:rsidRPr="009E555B" w:rsidRDefault="004C7CE5" w:rsidP="004C7CE5">
      <w:pPr>
        <w:rPr>
          <w:b/>
          <w:bCs/>
        </w:rPr>
      </w:pPr>
      <w:r w:rsidRPr="009E555B">
        <w:rPr>
          <w:b/>
          <w:bCs/>
        </w:rPr>
        <w:lastRenderedPageBreak/>
        <w:t>Outcomes:</w:t>
      </w:r>
    </w:p>
    <w:p w14:paraId="069C539B" w14:textId="77777777" w:rsidR="004C7CE5" w:rsidRDefault="004C7CE5" w:rsidP="004C7CE5">
      <w:r>
        <w:t>1. What did you discover? Discuss your project’s significant findings and accomplishments.</w:t>
      </w:r>
    </w:p>
    <w:p w14:paraId="36402665" w14:textId="0A3BE461" w:rsidR="004C7CE5" w:rsidRDefault="004C7CE5" w:rsidP="004C7CE5">
      <w:r>
        <w:t xml:space="preserve">We discovered that </w:t>
      </w:r>
      <w:r>
        <w:rPr>
          <w:i/>
          <w:iCs/>
        </w:rPr>
        <w:t>rpsU2</w:t>
      </w:r>
      <w:r>
        <w:t xml:space="preserve"> involves complex regulation involving bS21-2 and other unknown mechanisms. Initially, our goal was to determine which upstream region of the </w:t>
      </w:r>
      <w:r w:rsidRPr="00BA05ED">
        <w:t xml:space="preserve">rpsU2 </w:t>
      </w:r>
      <w:r>
        <w:t xml:space="preserve">gene could be responding to the protein that is encoded for by </w:t>
      </w:r>
      <w:r>
        <w:rPr>
          <w:i/>
          <w:iCs/>
        </w:rPr>
        <w:t>rpsU2</w:t>
      </w:r>
      <w:r>
        <w:t xml:space="preserve">, to expand upon initial research that found there was 25-fold more transcript produced in cells lacking bS21-2. When the </w:t>
      </w:r>
      <w:r>
        <w:rPr>
          <w:rFonts w:cstheme="minorHAnsi"/>
        </w:rPr>
        <w:t>β</w:t>
      </w:r>
      <w:r>
        <w:t xml:space="preserve">-galactosidase assay was completed, there was only about a 30% increase in protein activity in the deletion cells. Due to this unexpected result, we were unable to determine the region that could be responding to the protein. We subsequently considered that protein activity may not be an accurate measure of transcript abundance in this model, and instead isolated RNA to assess </w:t>
      </w:r>
      <w:r>
        <w:rPr>
          <w:i/>
          <w:iCs/>
        </w:rPr>
        <w:t xml:space="preserve">rpsU2 </w:t>
      </w:r>
      <w:r>
        <w:t xml:space="preserve">transcripts more directly. We then performed real-time PCR to compare the strains that we constructed to the samples that were used </w:t>
      </w:r>
      <w:r w:rsidR="00476D96">
        <w:t>in previous</w:t>
      </w:r>
      <w:r>
        <w:t xml:space="preserve"> study, which did not contain the </w:t>
      </w:r>
      <w:r>
        <w:rPr>
          <w:i/>
          <w:iCs/>
        </w:rPr>
        <w:t xml:space="preserve">lacZ </w:t>
      </w:r>
      <w:r>
        <w:t xml:space="preserve">fusion. Again, the result was not as expected. </w:t>
      </w:r>
      <w:r w:rsidR="00476D96">
        <w:t xml:space="preserve">We were expecting that the strain with both components of </w:t>
      </w:r>
      <w:r w:rsidR="00476D96" w:rsidRPr="00476D96">
        <w:rPr>
          <w:i/>
          <w:iCs/>
        </w:rPr>
        <w:t>rpsu2</w:t>
      </w:r>
      <w:r w:rsidR="00476D96">
        <w:rPr>
          <w:i/>
          <w:iCs/>
        </w:rPr>
        <w:t xml:space="preserve"> </w:t>
      </w:r>
      <w:r w:rsidR="00476D96">
        <w:t xml:space="preserve">(promoter and 5’ UTR) with </w:t>
      </w:r>
      <w:r w:rsidR="00476D96" w:rsidRPr="00476D96">
        <w:rPr>
          <w:i/>
          <w:iCs/>
        </w:rPr>
        <w:t>lacZ</w:t>
      </w:r>
      <w:r w:rsidR="00476D96">
        <w:rPr>
          <w:i/>
          <w:iCs/>
        </w:rPr>
        <w:t xml:space="preserve"> </w:t>
      </w:r>
      <w:r w:rsidR="00476D96">
        <w:t xml:space="preserve">would behave similarly to the previous data, but it did not. As previously stated, the previous data showed a 25-fold increase in transcript abundance between the LVS with </w:t>
      </w:r>
      <w:r w:rsidR="00476D96" w:rsidRPr="00476D96">
        <w:rPr>
          <w:i/>
          <w:iCs/>
        </w:rPr>
        <w:t>rpsu2</w:t>
      </w:r>
      <w:r w:rsidR="00476D96">
        <w:t xml:space="preserve"> and with </w:t>
      </w:r>
      <w:r w:rsidR="00476D96">
        <w:rPr>
          <w:i/>
          <w:iCs/>
        </w:rPr>
        <w:t xml:space="preserve">rpsu2 </w:t>
      </w:r>
      <w:r w:rsidR="00476D96">
        <w:t xml:space="preserve">deleted. When we completed the RT-PCR there was only about a 7-fold increase. </w:t>
      </w:r>
      <w:r w:rsidRPr="00476D96">
        <w:t xml:space="preserve">This </w:t>
      </w:r>
      <w:r>
        <w:t xml:space="preserve">could be a few reasons. For the strains that we constructed, the regulatory sequence was taken and engineered with the gene fusion of </w:t>
      </w:r>
      <w:r w:rsidRPr="00394567">
        <w:rPr>
          <w:i/>
          <w:iCs/>
        </w:rPr>
        <w:t>lacZ</w:t>
      </w:r>
      <w:r>
        <w:t xml:space="preserve"> to another part of the chromosomes. It can be difficult to find the bounds of upstream regulatory sequences, and this engineered strain could be missing some key components. The old strains that we are validating have the sequences in the native context, and therefore have all the necessary components. Another reason could be that in the engineered strains, there are two promoter regions where the protein bS21-2 could be responding, while in the native context there is only one. This could be a reasonable explanation as the transcript abundance found in the native context was 16-fold, and in the engineered strains was 7-fold. The difference is about half, consistent with the hypothesis that bS21-2 is split between two loci.  </w:t>
      </w:r>
      <w:r w:rsidRPr="00394567">
        <w:t>We</w:t>
      </w:r>
      <w:r>
        <w:t xml:space="preserve"> accomplished some major milestones in lab this semester, such as making plasmids, completing </w:t>
      </w:r>
      <w:r>
        <w:rPr>
          <w:rFonts w:cstheme="minorHAnsi"/>
        </w:rPr>
        <w:t>β</w:t>
      </w:r>
      <w:r>
        <w:t>-galactosidase assays, isolating RNA, and real-time PCR. We found limitations in the use of reporter fusion strains which will help improve the design of future experiments for the Ramsey lab.</w:t>
      </w:r>
    </w:p>
    <w:p w14:paraId="560DB64C" w14:textId="77777777" w:rsidR="004C7CE5" w:rsidRPr="003C78A1" w:rsidRDefault="004C7CE5" w:rsidP="004C7CE5"/>
    <w:p w14:paraId="671777FE" w14:textId="77777777" w:rsidR="004C7CE5" w:rsidRDefault="004C7CE5" w:rsidP="004C7CE5">
      <w:r>
        <w:t>2. Comment on additional outcomes not directly associated with the project’s objectives (e.g.,</w:t>
      </w:r>
    </w:p>
    <w:p w14:paraId="0A634B2E" w14:textId="77777777" w:rsidR="004C7CE5" w:rsidRDefault="004C7CE5" w:rsidP="004C7CE5">
      <w:r>
        <w:t>partnerships formed, additional funding support gained, presentations)</w:t>
      </w:r>
    </w:p>
    <w:p w14:paraId="1E47D983" w14:textId="77777777" w:rsidR="004C7CE5" w:rsidRDefault="004C7CE5" w:rsidP="004C7CE5">
      <w:r>
        <w:t xml:space="preserve">We both had the opportunity to practice our science communication skills when updating our professor, lab mates, and members of another lab in the department about the project’s process during joint lab meetings. This was important as undergraduates working on a niche molecular biology project to be able to communicate the science behind the project. Additionally, Aisling had the opportunity to present the project to the class CMB 482 as a guest lecturer, which was beneficial both for her communication skills and for exposing other undergraduates to the unexpected nature of research. </w:t>
      </w:r>
    </w:p>
    <w:p w14:paraId="45703A1A" w14:textId="77777777" w:rsidR="004C7CE5" w:rsidRPr="009E555B" w:rsidRDefault="004C7CE5" w:rsidP="004C7CE5">
      <w:pPr>
        <w:rPr>
          <w:b/>
          <w:bCs/>
        </w:rPr>
      </w:pPr>
      <w:r w:rsidRPr="009E555B">
        <w:rPr>
          <w:b/>
          <w:bCs/>
        </w:rPr>
        <w:t>Lessons Learned:</w:t>
      </w:r>
    </w:p>
    <w:p w14:paraId="7D71C42B" w14:textId="77777777" w:rsidR="004C7CE5" w:rsidRDefault="004C7CE5" w:rsidP="004C7CE5">
      <w:pPr>
        <w:pStyle w:val="ListParagraph"/>
        <w:numPr>
          <w:ilvl w:val="0"/>
          <w:numId w:val="1"/>
        </w:numPr>
      </w:pPr>
      <w:r>
        <w:t>Reflecting on strategies and activities, what worked and what did not work?</w:t>
      </w:r>
    </w:p>
    <w:p w14:paraId="107FA5D4" w14:textId="3D86EEBE" w:rsidR="004C7CE5" w:rsidRPr="00032764" w:rsidRDefault="004C7CE5" w:rsidP="004C7CE5">
      <w:r>
        <w:lastRenderedPageBreak/>
        <w:t xml:space="preserve">Our original strategy of using reporter fusions and protein activity as a proxy for measuring transcript abundance was unsuccessful so we moved onto the strategy of using real-time PCR. </w:t>
      </w:r>
      <w:r w:rsidR="005340AE">
        <w:t xml:space="preserve">From the RT-PCR, </w:t>
      </w:r>
      <w:r w:rsidR="00C7599E">
        <w:t xml:space="preserve">we generated data different from our beta-galactosidase assays and were able to draw some conclusions from that data. In the future, </w:t>
      </w:r>
      <w:r w:rsidR="00530836">
        <w:t>continuing to use the</w:t>
      </w:r>
      <w:r w:rsidR="00C7599E">
        <w:t xml:space="preserve"> RT-PCR</w:t>
      </w:r>
      <w:r w:rsidR="00530836">
        <w:t xml:space="preserve"> approach</w:t>
      </w:r>
      <w:r w:rsidR="00C7599E">
        <w:t xml:space="preserve"> </w:t>
      </w:r>
      <w:r w:rsidR="00530836">
        <w:t>and including more upstream DNA to pinpoint which component of the upstream regions are necessary is most likely the next step.</w:t>
      </w:r>
      <w:r w:rsidR="00C7599E">
        <w:t xml:space="preserve"> </w:t>
      </w:r>
      <w:r>
        <w:t>It also became difficult for both partners to work on the project in equal amounts of time and maintain communication about the project over the course of the semester. Other projects reduced the amount of time Dan was able to work on this project and so it was difficult for both partners to be on the same page regarding the progress made on this project.</w:t>
      </w:r>
    </w:p>
    <w:p w14:paraId="0C096167" w14:textId="77777777" w:rsidR="004C7CE5" w:rsidRDefault="004C7CE5" w:rsidP="004C7CE5">
      <w:pPr>
        <w:pStyle w:val="ListParagraph"/>
        <w:numPr>
          <w:ilvl w:val="0"/>
          <w:numId w:val="1"/>
        </w:numPr>
      </w:pPr>
      <w:r>
        <w:t>What would you do differently next time?</w:t>
      </w:r>
    </w:p>
    <w:p w14:paraId="5EEA6669" w14:textId="77777777" w:rsidR="004C7CE5" w:rsidRDefault="004C7CE5" w:rsidP="004C7CE5">
      <w:r>
        <w:t>After discussing this question, we decided having more checkpoints along the way to provide more analysis and insight on the progress made during this project would be the best improvement for future endeavors. Additionally, if two partners were to work on a similar project in the future, planning days to work on the project far in advance may result in better communication and more efficient work done.</w:t>
      </w:r>
    </w:p>
    <w:p w14:paraId="6167BA9C" w14:textId="77777777" w:rsidR="004C7CE5" w:rsidRPr="009E555B" w:rsidRDefault="004C7CE5" w:rsidP="004C7CE5">
      <w:pPr>
        <w:rPr>
          <w:b/>
          <w:bCs/>
        </w:rPr>
      </w:pPr>
      <w:r w:rsidRPr="009E555B">
        <w:rPr>
          <w:b/>
          <w:bCs/>
        </w:rPr>
        <w:t>Lessons Applied:</w:t>
      </w:r>
    </w:p>
    <w:p w14:paraId="636EE529" w14:textId="77777777" w:rsidR="004C7CE5" w:rsidRDefault="004C7CE5" w:rsidP="004C7CE5">
      <w:r>
        <w:t>1. How will the lessons learned from this project affect your future work? Do you anticipate any</w:t>
      </w:r>
    </w:p>
    <w:p w14:paraId="305A44B7" w14:textId="77777777" w:rsidR="004C7CE5" w:rsidRDefault="004C7CE5" w:rsidP="004C7CE5">
      <w:r>
        <w:t>long-term outcome from your project?</w:t>
      </w:r>
    </w:p>
    <w:p w14:paraId="120AECC3" w14:textId="23533A65" w:rsidR="004C7CE5" w:rsidRDefault="004C7CE5" w:rsidP="004C7CE5">
      <w:r>
        <w:t xml:space="preserve">Dan is graduating this May and will be moving on to a laboratory technician position at the </w:t>
      </w:r>
      <w:r w:rsidR="005340AE">
        <w:t>Massachusetts</w:t>
      </w:r>
      <w:r>
        <w:t xml:space="preserve"> General Hospital Center for Infectious </w:t>
      </w:r>
      <w:r>
        <w:t>D</w:t>
      </w:r>
      <w:r>
        <w:t>isease. The work he will be doing there will involve similar and relevant skills he acquired and refined through the work done on this project, such as RNA isolation, DNA extraction, PCR, and gel electrophoresis. Along with lab techniques, he also improved his communication and organizational skills.</w:t>
      </w:r>
    </w:p>
    <w:p w14:paraId="4829A4DE" w14:textId="77777777" w:rsidR="004C7CE5" w:rsidRDefault="004C7CE5" w:rsidP="004C7CE5"/>
    <w:p w14:paraId="00A6C30D" w14:textId="77777777" w:rsidR="004C7CE5" w:rsidRDefault="004C7CE5" w:rsidP="004C7CE5">
      <w:r>
        <w:t xml:space="preserve">Aisling will be continuing to work on this project in the next year as she continues to conduct research in the Ramsey lab. Relevant skills such as real-time PCR, </w:t>
      </w:r>
      <w:r>
        <w:rPr>
          <w:rFonts w:cstheme="minorHAnsi"/>
        </w:rPr>
        <w:t>β</w:t>
      </w:r>
      <w:r>
        <w:t xml:space="preserve">-galactosidase assays, and lab safety are all tools that she feels confident using independently in lab and hopes to contribute to other spaces in her future. Additionally, Aisling will be participating in the RI-INBRE SURF program this summer and will be putting her organizational skills, time management, and science communication skills to use. </w:t>
      </w:r>
    </w:p>
    <w:p w14:paraId="18957A81" w14:textId="77777777" w:rsidR="004C7CE5" w:rsidRDefault="004C7CE5" w:rsidP="004C7CE5"/>
    <w:p w14:paraId="398963DB" w14:textId="77777777" w:rsidR="004C7CE5" w:rsidRDefault="004C7CE5" w:rsidP="004C7CE5">
      <w:r>
        <w:t>Will you be presenting your project at a conference or showcase, and if yes, where, and when?</w:t>
      </w:r>
    </w:p>
    <w:p w14:paraId="66C8A85A" w14:textId="77777777" w:rsidR="004C7CE5" w:rsidRDefault="004C7CE5" w:rsidP="004C7CE5">
      <w:r>
        <w:t xml:space="preserve">No, we will not be presenting our project at a conference or showcase. </w:t>
      </w:r>
    </w:p>
    <w:p w14:paraId="3AEF7A7C" w14:textId="77777777" w:rsidR="004C7CE5" w:rsidRDefault="004C7CE5" w:rsidP="004C7CE5">
      <w:r>
        <w:t>Additional Comments (regarding program, experience, etc.):</w:t>
      </w:r>
    </w:p>
    <w:p w14:paraId="103AAF35" w14:textId="77777777" w:rsidR="004C7CE5" w:rsidRDefault="004C7CE5" w:rsidP="004C7CE5"/>
    <w:p w14:paraId="366034A9" w14:textId="77777777" w:rsidR="004C7CE5" w:rsidRDefault="004C7CE5" w:rsidP="004C7CE5">
      <w:r>
        <w:t>THE OFFICE OF UNDERGRADUATE RESEARCH AND INNOVATION</w:t>
      </w:r>
    </w:p>
    <w:p w14:paraId="23D0F7E9" w14:textId="77777777" w:rsidR="004C7CE5" w:rsidRDefault="004C7CE5" w:rsidP="004C7CE5"/>
    <w:p w14:paraId="22C3682F" w14:textId="77777777" w:rsidR="004C7CE5" w:rsidRDefault="004C7CE5" w:rsidP="004C7CE5">
      <w:r>
        <w:lastRenderedPageBreak/>
        <w:t>Project Summary Report</w:t>
      </w:r>
    </w:p>
    <w:p w14:paraId="3D8091F1" w14:textId="77777777" w:rsidR="004C7CE5" w:rsidRDefault="004C7CE5" w:rsidP="004C7CE5">
      <w:r>
        <w:rPr>
          <w:noProof/>
        </w:rPr>
        <w:drawing>
          <wp:inline distT="0" distB="0" distL="0" distR="0" wp14:anchorId="6A54A32C" wp14:editId="4C04C2E6">
            <wp:extent cx="5943600" cy="782320"/>
            <wp:effectExtent l="0" t="0" r="0" b="0"/>
            <wp:docPr id="1" name="Picture 1" descr="Graphical user interface, application,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application, table&#10;&#10;Description automatically generated"/>
                    <pic:cNvPicPr/>
                  </pic:nvPicPr>
                  <pic:blipFill>
                    <a:blip r:embed="rId5"/>
                    <a:stretch>
                      <a:fillRect/>
                    </a:stretch>
                  </pic:blipFill>
                  <pic:spPr>
                    <a:xfrm>
                      <a:off x="0" y="0"/>
                      <a:ext cx="5943600" cy="782320"/>
                    </a:xfrm>
                    <a:prstGeom prst="rect">
                      <a:avLst/>
                    </a:prstGeom>
                  </pic:spPr>
                </pic:pic>
              </a:graphicData>
            </a:graphic>
          </wp:inline>
        </w:drawing>
      </w:r>
    </w:p>
    <w:p w14:paraId="086B8D3E" w14:textId="77777777" w:rsidR="004C7CE5" w:rsidRDefault="004C7CE5" w:rsidP="004C7CE5">
      <w:r>
        <w:t xml:space="preserve">Please submit report by May 15, </w:t>
      </w:r>
      <w:proofErr w:type="gramStart"/>
      <w:r>
        <w:t>2022</w:t>
      </w:r>
      <w:proofErr w:type="gramEnd"/>
      <w:r>
        <w:t xml:space="preserve"> to:</w:t>
      </w:r>
    </w:p>
    <w:p w14:paraId="211629F7" w14:textId="77777777" w:rsidR="004C7CE5" w:rsidRDefault="004C7CE5" w:rsidP="004C7CE5">
      <w:r>
        <w:t>The Office of Undergraduate Research (URI)2 Email: uri2@etal.uri.edu</w:t>
      </w:r>
    </w:p>
    <w:p w14:paraId="644DDF14" w14:textId="77777777" w:rsidR="008825E5" w:rsidRDefault="004D3E0A"/>
    <w:sectPr w:rsidR="008825E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8A5F7F"/>
    <w:multiLevelType w:val="hybridMultilevel"/>
    <w:tmpl w:val="C02E5300"/>
    <w:lvl w:ilvl="0" w:tplc="0A3270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749722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7CE5"/>
    <w:rsid w:val="000A7E93"/>
    <w:rsid w:val="004049FF"/>
    <w:rsid w:val="00476D96"/>
    <w:rsid w:val="004C7CE5"/>
    <w:rsid w:val="004D3E0A"/>
    <w:rsid w:val="00530836"/>
    <w:rsid w:val="005340AE"/>
    <w:rsid w:val="0074255C"/>
    <w:rsid w:val="009C073C"/>
    <w:rsid w:val="00B46552"/>
    <w:rsid w:val="00C759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E0ACB1"/>
  <w15:chartTrackingRefBased/>
  <w15:docId w15:val="{D2E8B500-8DD7-4C5B-927B-9BFFA36FFF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7CE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4C7CE5"/>
    <w:rPr>
      <w:sz w:val="16"/>
      <w:szCs w:val="16"/>
    </w:rPr>
  </w:style>
  <w:style w:type="paragraph" w:styleId="CommentText">
    <w:name w:val="annotation text"/>
    <w:basedOn w:val="Normal"/>
    <w:link w:val="CommentTextChar"/>
    <w:uiPriority w:val="99"/>
    <w:semiHidden/>
    <w:unhideWhenUsed/>
    <w:rsid w:val="004C7CE5"/>
    <w:pPr>
      <w:spacing w:line="240" w:lineRule="auto"/>
    </w:pPr>
    <w:rPr>
      <w:sz w:val="20"/>
      <w:szCs w:val="20"/>
    </w:rPr>
  </w:style>
  <w:style w:type="character" w:customStyle="1" w:styleId="CommentTextChar">
    <w:name w:val="Comment Text Char"/>
    <w:basedOn w:val="DefaultParagraphFont"/>
    <w:link w:val="CommentText"/>
    <w:uiPriority w:val="99"/>
    <w:semiHidden/>
    <w:rsid w:val="004C7CE5"/>
    <w:rPr>
      <w:sz w:val="20"/>
      <w:szCs w:val="20"/>
    </w:rPr>
  </w:style>
  <w:style w:type="paragraph" w:styleId="ListParagraph">
    <w:name w:val="List Paragraph"/>
    <w:basedOn w:val="Normal"/>
    <w:uiPriority w:val="34"/>
    <w:qFormat/>
    <w:rsid w:val="004C7CE5"/>
    <w:pPr>
      <w:ind w:left="720"/>
      <w:contextualSpacing/>
    </w:pPr>
  </w:style>
  <w:style w:type="paragraph" w:styleId="Revision">
    <w:name w:val="Revision"/>
    <w:hidden/>
    <w:uiPriority w:val="99"/>
    <w:semiHidden/>
    <w:rsid w:val="0053083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4</Pages>
  <Words>1331</Words>
  <Characters>7589</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Aisling Macaraeg</dc:creator>
  <cp:keywords/>
  <dc:description/>
  <cp:lastModifiedBy>Dan Floyd</cp:lastModifiedBy>
  <cp:revision>5</cp:revision>
  <dcterms:created xsi:type="dcterms:W3CDTF">2022-05-05T21:00:00Z</dcterms:created>
  <dcterms:modified xsi:type="dcterms:W3CDTF">2022-05-06T20:12:00Z</dcterms:modified>
</cp:coreProperties>
</file>